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9"/>
        <w:gridCol w:w="8"/>
        <w:gridCol w:w="1766"/>
        <w:gridCol w:w="797"/>
        <w:gridCol w:w="46"/>
        <w:gridCol w:w="935"/>
        <w:gridCol w:w="327"/>
        <w:gridCol w:w="967"/>
        <w:gridCol w:w="89"/>
        <w:gridCol w:w="758"/>
        <w:gridCol w:w="520"/>
        <w:gridCol w:w="194"/>
        <w:gridCol w:w="717"/>
        <w:gridCol w:w="591"/>
      </w:tblGrid>
      <w:tr w:rsidR="00E72FB4" w:rsidRPr="00E72FB4" w14:paraId="2E89E348" w14:textId="77777777" w:rsidTr="6D3EC63E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5A5A21" w:rsidRPr="00E72FB4" w:rsidRDefault="005A5A21" w:rsidP="00DE13C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B4A91A8" w14:textId="77777777" w:rsidR="005A5A21" w:rsidRPr="00E72FB4" w:rsidRDefault="005A5A21" w:rsidP="00DE13C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Financijski sustav</w:t>
            </w:r>
          </w:p>
        </w:tc>
      </w:tr>
      <w:tr w:rsidR="00E72FB4" w:rsidRPr="00E72FB4" w14:paraId="5E533184" w14:textId="77777777" w:rsidTr="6D3EC63E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5A5A21" w:rsidRPr="00E72FB4" w:rsidRDefault="005A5A21" w:rsidP="00DE13C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E72FB4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A77BE5" w14:textId="77777777" w:rsidR="005A5A21" w:rsidRPr="00352501" w:rsidRDefault="005A5A21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52501">
              <w:rPr>
                <w:rFonts w:ascii="Arial" w:hAnsi="Arial" w:cs="Arial"/>
                <w:color w:val="000000" w:themeColor="text1"/>
                <w:sz w:val="20"/>
                <w:szCs w:val="20"/>
              </w:rPr>
              <w:t>EUB411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5A5A21" w:rsidRPr="00E72FB4" w:rsidRDefault="005A5A21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F999B5" w14:textId="77777777" w:rsidR="005A5A21" w:rsidRPr="00E72FB4" w:rsidRDefault="005A5A21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E72FB4" w:rsidRPr="00E72FB4" w14:paraId="7BEDDD7C" w14:textId="77777777" w:rsidTr="6D3EC6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85D207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dr. </w:t>
            </w:r>
            <w:proofErr w:type="spellStart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. Ana Rimac Smiljanić</w:t>
            </w:r>
          </w:p>
          <w:p w14:paraId="769E7138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dr. </w:t>
            </w:r>
            <w:proofErr w:type="spellStart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. Josip Visković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E72FB4" w:rsidRPr="00E72FB4" w14:paraId="184A2F69" w14:textId="77777777" w:rsidTr="6D3EC63E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2A6659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2176CE" w:rsidRPr="00E72FB4" w:rsidRDefault="002176CE" w:rsidP="002176C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2176CE" w:rsidRPr="00E72FB4" w:rsidRDefault="002176CE" w:rsidP="002176C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2176CE" w:rsidRPr="00E72FB4" w:rsidRDefault="002176CE" w:rsidP="002176C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2176CE" w:rsidRPr="00E72FB4" w:rsidRDefault="002176CE" w:rsidP="002176C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E72FB4" w:rsidRPr="00E72FB4" w14:paraId="38C17824" w14:textId="77777777" w:rsidTr="6D3EC63E">
        <w:trPr>
          <w:trHeight w:val="42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14:paraId="5F721A52" w14:textId="77777777" w:rsidTr="6D3EC6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A24096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8DFBC8" w14:textId="77777777" w:rsidR="002176CE" w:rsidRPr="00E72FB4" w:rsidRDefault="002176CE" w:rsidP="00E72FB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E72FB4" w:rsidRPr="00E72FB4" w14:paraId="7AE32C00" w14:textId="77777777" w:rsidTr="6D3EC63E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E72FB4" w:rsidRPr="00E72FB4" w14:paraId="46950140" w14:textId="77777777" w:rsidTr="6D3EC63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4425B3" w14:textId="77777777"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Cilj ovog predmeta je pružiti studentima teorijska i empirijska znanja iz funkcioniranja financijskog sustava.</w:t>
            </w:r>
          </w:p>
          <w:p w14:paraId="41C8F396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14:paraId="5124B65A" w14:textId="77777777" w:rsidTr="6D3EC63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44CD6B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Temeljna znanja o financijskim institucijama i tržištima.</w:t>
            </w:r>
          </w:p>
          <w:p w14:paraId="72A3D3EC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14:paraId="0EC48956" w14:textId="77777777" w:rsidTr="6D3EC63E">
        <w:trPr>
          <w:trHeight w:val="2240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04291074" w14:textId="77777777" w:rsidR="002176CE" w:rsidRPr="00E72FB4" w:rsidRDefault="002176CE" w:rsidP="002176CE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Planirati i upravljati financijskim odlukama na makroekonomskoj i mikroekonomskoj razini s obzirom na promjene unutar financijskog sustava  (7. razina)</w:t>
            </w:r>
          </w:p>
          <w:p w14:paraId="0D0B940D" w14:textId="77777777" w:rsidR="002176CE" w:rsidRPr="00BE15D4" w:rsidRDefault="002176CE" w:rsidP="002176CE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8D72EB" w14:textId="77777777" w:rsidR="002176CE" w:rsidRPr="00BE15D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15D4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0BE4A57F" w14:textId="77777777" w:rsidR="002176CE" w:rsidRPr="00BE15D4" w:rsidRDefault="002176CE" w:rsidP="002176CE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</w:pPr>
            <w:r w:rsidRPr="00BE15D4"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  <w:t>Kritički prosuditi razvitak financijskog sustava i njegov utjecaj na mogućnosti financiranja gospodarskih subjekata</w:t>
            </w:r>
          </w:p>
          <w:p w14:paraId="51E42085" w14:textId="77777777" w:rsidR="002176CE" w:rsidRPr="00BE15D4" w:rsidRDefault="002176CE" w:rsidP="002176CE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15D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Preispitati promjene u bankovnim sustavima tranzicijskih zemalja i njihove posljedice na mogućnosti financiranja gospodarskih subjekata</w:t>
            </w:r>
          </w:p>
          <w:p w14:paraId="27CE1DFE" w14:textId="77777777" w:rsidR="002176CE" w:rsidRPr="00BE15D4" w:rsidRDefault="002176CE" w:rsidP="002176CE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15D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Kritički prosuditi događanja na tržištima imovina i ponašanja gospodarskih sudionika na pojavu financijske (ne)stabilnosti</w:t>
            </w:r>
          </w:p>
          <w:p w14:paraId="39CA6520" w14:textId="77777777" w:rsidR="002176CE" w:rsidRPr="00BE15D4" w:rsidRDefault="002176CE" w:rsidP="002176CE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15D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Procijeniti događanja u financijskom sustavu na financijsku poziciju stanovništva</w:t>
            </w:r>
          </w:p>
          <w:p w14:paraId="0E27B00A" w14:textId="77777777" w:rsidR="002176CE" w:rsidRPr="00E72FB4" w:rsidRDefault="002176CE" w:rsidP="002176CE">
            <w:pPr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14:paraId="2490D4F9" w14:textId="77777777" w:rsidTr="6D3EC63E">
        <w:trPr>
          <w:trHeight w:val="4726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217C4A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60061E4C" w14:textId="77777777" w:rsidR="00217C4A" w:rsidRP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EAFD9C" w14:textId="77777777" w:rsidR="00217C4A" w:rsidRP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94D5A5" w14:textId="77777777" w:rsidR="00217C4A" w:rsidRP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EEC669" w14:textId="77777777" w:rsid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56B9AB" w14:textId="77777777" w:rsidR="00217C4A" w:rsidRP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FB0818" w14:textId="77777777" w:rsid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9F31CB" w14:textId="77777777" w:rsid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128261" w14:textId="1A729935" w:rsidR="00586D19" w:rsidRDefault="00586D19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96C505C" w14:textId="77777777" w:rsidR="002176CE" w:rsidRPr="00586D19" w:rsidRDefault="002176CE" w:rsidP="00586D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00"/>
              <w:gridCol w:w="561"/>
              <w:gridCol w:w="3193"/>
              <w:gridCol w:w="561"/>
            </w:tblGrid>
            <w:tr w:rsidR="00E72FB4" w:rsidRPr="00E72FB4" w14:paraId="76DEB55B" w14:textId="77777777" w:rsidTr="00DE13CC">
              <w:tc>
                <w:tcPr>
                  <w:tcW w:w="0" w:type="auto"/>
                  <w:gridSpan w:val="2"/>
                </w:tcPr>
                <w:p w14:paraId="1A9F542B" w14:textId="77777777" w:rsidR="002176CE" w:rsidRPr="00E72FB4" w:rsidRDefault="002176CE" w:rsidP="002176CE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0" w:type="auto"/>
                  <w:gridSpan w:val="2"/>
                </w:tcPr>
                <w:p w14:paraId="54606339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E72FB4" w:rsidRPr="00E72FB4" w14:paraId="77BD858E" w14:textId="77777777" w:rsidTr="00DE13CC">
              <w:tc>
                <w:tcPr>
                  <w:tcW w:w="0" w:type="auto"/>
                </w:tcPr>
                <w:p w14:paraId="31D8EC91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0" w:type="auto"/>
                </w:tcPr>
                <w:p w14:paraId="4F602B97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0" w:type="auto"/>
                </w:tcPr>
                <w:p w14:paraId="486D2080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0" w:type="auto"/>
                </w:tcPr>
                <w:p w14:paraId="144C9487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E72FB4" w:rsidRPr="00E72FB4" w14:paraId="425C41BD" w14:textId="77777777" w:rsidTr="00DE13CC">
              <w:trPr>
                <w:trHeight w:val="287"/>
              </w:trPr>
              <w:tc>
                <w:tcPr>
                  <w:tcW w:w="0" w:type="auto"/>
                  <w:vAlign w:val="center"/>
                </w:tcPr>
                <w:p w14:paraId="40DCB1EB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</w:t>
                  </w:r>
                  <w:bookmarkStart w:id="0" w:name="_GoBack"/>
                  <w:bookmarkEnd w:id="0"/>
                </w:p>
              </w:tc>
              <w:tc>
                <w:tcPr>
                  <w:tcW w:w="0" w:type="auto"/>
                </w:tcPr>
                <w:p w14:paraId="7144751B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71432501" w14:textId="77777777" w:rsidR="002176CE" w:rsidRPr="00E72FB4" w:rsidRDefault="002176CE" w:rsidP="002176CE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</w:t>
                  </w:r>
                </w:p>
              </w:tc>
              <w:tc>
                <w:tcPr>
                  <w:tcW w:w="0" w:type="auto"/>
                </w:tcPr>
                <w:p w14:paraId="78E884CA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459C17A1" w14:textId="77777777" w:rsidTr="00DE13CC">
              <w:tc>
                <w:tcPr>
                  <w:tcW w:w="0" w:type="auto"/>
                  <w:vAlign w:val="center"/>
                </w:tcPr>
                <w:p w14:paraId="7998A6AE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Financije i rast</w:t>
                  </w:r>
                </w:p>
              </w:tc>
              <w:tc>
                <w:tcPr>
                  <w:tcW w:w="0" w:type="auto"/>
                </w:tcPr>
                <w:p w14:paraId="7842F596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5CFD064" w14:textId="77777777" w:rsidR="002176CE" w:rsidRPr="00E72FB4" w:rsidRDefault="002176CE" w:rsidP="002176CE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Financije i rast</w:t>
                  </w:r>
                </w:p>
              </w:tc>
              <w:tc>
                <w:tcPr>
                  <w:tcW w:w="0" w:type="auto"/>
                </w:tcPr>
                <w:p w14:paraId="2CC21B90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0509205C" w14:textId="77777777" w:rsidTr="00DE13CC">
              <w:trPr>
                <w:cantSplit/>
                <w:trHeight w:hRule="exact" w:val="517"/>
              </w:trPr>
              <w:tc>
                <w:tcPr>
                  <w:tcW w:w="0" w:type="auto"/>
                  <w:vAlign w:val="center"/>
                </w:tcPr>
                <w:p w14:paraId="5525FAF3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Vrsta financijskih sustava</w:t>
                  </w:r>
                </w:p>
              </w:tc>
              <w:tc>
                <w:tcPr>
                  <w:tcW w:w="0" w:type="auto"/>
                </w:tcPr>
                <w:p w14:paraId="138328F9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1C0D0B0" w14:textId="77777777" w:rsidR="002176CE" w:rsidRPr="00E72FB4" w:rsidRDefault="002176CE" w:rsidP="002176CE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Vrsta financijskih sustava</w:t>
                  </w:r>
                </w:p>
              </w:tc>
              <w:tc>
                <w:tcPr>
                  <w:tcW w:w="0" w:type="auto"/>
                </w:tcPr>
                <w:p w14:paraId="54B6C890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70DBDCE5" w14:textId="77777777" w:rsidTr="00DE13CC">
              <w:tc>
                <w:tcPr>
                  <w:tcW w:w="0" w:type="auto"/>
                  <w:vAlign w:val="center"/>
                </w:tcPr>
                <w:p w14:paraId="5A1AF9D4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Konkurencija, efikasnost i stabilnost bankarskih sustava</w:t>
                  </w:r>
                </w:p>
              </w:tc>
              <w:tc>
                <w:tcPr>
                  <w:tcW w:w="0" w:type="auto"/>
                </w:tcPr>
                <w:p w14:paraId="58A8CB7E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42E5B9A4" w14:textId="77777777" w:rsidR="002176CE" w:rsidRPr="00E72FB4" w:rsidRDefault="002176CE" w:rsidP="002176CE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Konkurencija, efikasnost i stabilnost bankarskih sustava</w:t>
                  </w:r>
                </w:p>
              </w:tc>
              <w:tc>
                <w:tcPr>
                  <w:tcW w:w="0" w:type="auto"/>
                </w:tcPr>
                <w:p w14:paraId="2E643A39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4951EB6E" w14:textId="77777777" w:rsidTr="00DE13CC">
              <w:trPr>
                <w:trHeight w:val="132"/>
              </w:trPr>
              <w:tc>
                <w:tcPr>
                  <w:tcW w:w="0" w:type="auto"/>
                </w:tcPr>
                <w:p w14:paraId="63BCA8E5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Izravna inozemna ulaganja u bankarstvo</w:t>
                  </w:r>
                </w:p>
              </w:tc>
              <w:tc>
                <w:tcPr>
                  <w:tcW w:w="0" w:type="auto"/>
                </w:tcPr>
                <w:p w14:paraId="5A9DB5E7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2ED380FF" w14:textId="77777777" w:rsidR="002176CE" w:rsidRPr="00E72FB4" w:rsidRDefault="002176CE" w:rsidP="002176CE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Izravna inozemna ulaganja u bankarstvo</w:t>
                  </w:r>
                </w:p>
              </w:tc>
              <w:tc>
                <w:tcPr>
                  <w:tcW w:w="0" w:type="auto"/>
                </w:tcPr>
                <w:p w14:paraId="1BC03362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0DF0B106" w14:textId="77777777" w:rsidTr="00DE13CC">
              <w:tc>
                <w:tcPr>
                  <w:tcW w:w="0" w:type="auto"/>
                  <w:vAlign w:val="center"/>
                </w:tcPr>
                <w:p w14:paraId="5702D32D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Državno vlasništvo, državne banke i privatizacije banaka</w:t>
                  </w:r>
                </w:p>
              </w:tc>
              <w:tc>
                <w:tcPr>
                  <w:tcW w:w="0" w:type="auto"/>
                </w:tcPr>
                <w:p w14:paraId="24DED8E9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50149529" w14:textId="77777777" w:rsidR="002176CE" w:rsidRPr="00E72FB4" w:rsidRDefault="002176CE" w:rsidP="002176CE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Državno vlasništvo, državne banke i privatizacije banaka</w:t>
                  </w:r>
                </w:p>
              </w:tc>
              <w:tc>
                <w:tcPr>
                  <w:tcW w:w="0" w:type="auto"/>
                </w:tcPr>
                <w:p w14:paraId="1D63D2B4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42113BBC" w14:textId="77777777" w:rsidTr="00DE13CC">
              <w:trPr>
                <w:trHeight w:val="465"/>
              </w:trPr>
              <w:tc>
                <w:tcPr>
                  <w:tcW w:w="0" w:type="auto"/>
                  <w:vAlign w:val="center"/>
                </w:tcPr>
                <w:p w14:paraId="2450924E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0" w:type="auto"/>
                </w:tcPr>
                <w:p w14:paraId="4FD71FBC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2C5BD4FD" w14:textId="77777777" w:rsidR="002176CE" w:rsidRPr="00E72FB4" w:rsidRDefault="002176CE" w:rsidP="002176CE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0" w:type="auto"/>
                </w:tcPr>
                <w:p w14:paraId="39A728AC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194C5EC7" w14:textId="77777777" w:rsidTr="00DE13CC">
              <w:tc>
                <w:tcPr>
                  <w:tcW w:w="0" w:type="auto"/>
                  <w:vAlign w:val="center"/>
                </w:tcPr>
                <w:p w14:paraId="70DAD7D2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Bankarske i financijske krize</w:t>
                  </w:r>
                </w:p>
              </w:tc>
              <w:tc>
                <w:tcPr>
                  <w:tcW w:w="0" w:type="auto"/>
                </w:tcPr>
                <w:p w14:paraId="18B4C29E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4BEA4040" w14:textId="77777777" w:rsidR="002176CE" w:rsidRPr="00E72FB4" w:rsidRDefault="002176CE" w:rsidP="002176CE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Bankarske i financijske krize</w:t>
                  </w:r>
                </w:p>
              </w:tc>
              <w:tc>
                <w:tcPr>
                  <w:tcW w:w="0" w:type="auto"/>
                </w:tcPr>
                <w:p w14:paraId="6DEB9483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6F9F01EA" w14:textId="77777777" w:rsidTr="00DE13CC">
              <w:tc>
                <w:tcPr>
                  <w:tcW w:w="0" w:type="auto"/>
                  <w:vAlign w:val="center"/>
                </w:tcPr>
                <w:p w14:paraId="3CBE1B39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Osiguranje depozita i krize</w:t>
                  </w:r>
                </w:p>
              </w:tc>
              <w:tc>
                <w:tcPr>
                  <w:tcW w:w="0" w:type="auto"/>
                </w:tcPr>
                <w:p w14:paraId="7FC42638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20D0797F" w14:textId="77777777" w:rsidR="002176CE" w:rsidRPr="00E72FB4" w:rsidRDefault="002176CE" w:rsidP="002176CE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Osiguranje depozita i krize</w:t>
                  </w:r>
                </w:p>
              </w:tc>
              <w:tc>
                <w:tcPr>
                  <w:tcW w:w="0" w:type="auto"/>
                </w:tcPr>
                <w:p w14:paraId="46783CDB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3ABDBB60" w14:textId="77777777" w:rsidTr="00DE13CC">
              <w:tc>
                <w:tcPr>
                  <w:tcW w:w="0" w:type="auto"/>
                  <w:vAlign w:val="center"/>
                </w:tcPr>
                <w:p w14:paraId="6C4B0108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Tržišta dionica i novih financijskih instrumenata</w:t>
                  </w:r>
                </w:p>
              </w:tc>
              <w:tc>
                <w:tcPr>
                  <w:tcW w:w="0" w:type="auto"/>
                </w:tcPr>
                <w:p w14:paraId="5B896037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B05829C" w14:textId="77777777" w:rsidR="002176CE" w:rsidRPr="00E72FB4" w:rsidRDefault="002176CE" w:rsidP="002176CE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Tržišta dionica i novih financijskih instrumenata</w:t>
                  </w:r>
                </w:p>
              </w:tc>
              <w:tc>
                <w:tcPr>
                  <w:tcW w:w="0" w:type="auto"/>
                </w:tcPr>
                <w:p w14:paraId="0E86812A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7D26FD6D" w14:textId="77777777" w:rsidTr="00DE13CC">
              <w:trPr>
                <w:trHeight w:val="313"/>
              </w:trPr>
              <w:tc>
                <w:tcPr>
                  <w:tcW w:w="0" w:type="auto"/>
                  <w:vAlign w:val="center"/>
                </w:tcPr>
                <w:p w14:paraId="38CA4410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spacing w:after="0"/>
                    <w:ind w:left="357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Financijska pismenost stanovništva</w:t>
                  </w:r>
                </w:p>
              </w:tc>
              <w:tc>
                <w:tcPr>
                  <w:tcW w:w="0" w:type="auto"/>
                </w:tcPr>
                <w:p w14:paraId="55CCB594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2B65B69C" w14:textId="77777777" w:rsidR="002176CE" w:rsidRPr="00E72FB4" w:rsidRDefault="002176CE" w:rsidP="002176CE">
                  <w:pPr>
                    <w:numPr>
                      <w:ilvl w:val="0"/>
                      <w:numId w:val="6"/>
                    </w:numPr>
                    <w:spacing w:after="0"/>
                    <w:ind w:left="357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Financijska pismenost stanovništva</w:t>
                  </w:r>
                </w:p>
              </w:tc>
              <w:tc>
                <w:tcPr>
                  <w:tcW w:w="0" w:type="auto"/>
                </w:tcPr>
                <w:p w14:paraId="31A2C4CD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17FACF19" w14:textId="77777777" w:rsidTr="000B6D73">
              <w:trPr>
                <w:cantSplit/>
                <w:trHeight w:hRule="exact" w:val="1332"/>
              </w:trPr>
              <w:tc>
                <w:tcPr>
                  <w:tcW w:w="0" w:type="auto"/>
                  <w:vAlign w:val="center"/>
                </w:tcPr>
                <w:p w14:paraId="263C25A6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Ciklusi u cijenama nekretnina, zaduženost privatnih sektora i financijska stabilnost</w:t>
                  </w:r>
                </w:p>
              </w:tc>
              <w:tc>
                <w:tcPr>
                  <w:tcW w:w="0" w:type="auto"/>
                </w:tcPr>
                <w:p w14:paraId="78E1534E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0CAD4EA" w14:textId="77777777" w:rsidR="002176CE" w:rsidRPr="00E72FB4" w:rsidRDefault="002176CE" w:rsidP="002176C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14. Ciklusi u cijenama nekretnina, zaduženost privatnih sektora i financijska stabilnost</w:t>
                  </w:r>
                </w:p>
              </w:tc>
              <w:tc>
                <w:tcPr>
                  <w:tcW w:w="0" w:type="auto"/>
                </w:tcPr>
                <w:p w14:paraId="231CE365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3BDB4FBC" w14:textId="77777777" w:rsidTr="000B6D73">
              <w:trPr>
                <w:trHeight w:val="186"/>
              </w:trPr>
              <w:tc>
                <w:tcPr>
                  <w:tcW w:w="0" w:type="auto"/>
                  <w:vAlign w:val="center"/>
                </w:tcPr>
                <w:p w14:paraId="4F53C951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spacing w:after="0"/>
                    <w:ind w:left="357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0" w:type="auto"/>
                </w:tcPr>
                <w:p w14:paraId="0F8B1BD1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0CA1B55B" w14:textId="77777777" w:rsidR="002176CE" w:rsidRPr="00E72FB4" w:rsidRDefault="002176CE" w:rsidP="002176CE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0" w:type="auto"/>
                </w:tcPr>
                <w:p w14:paraId="23BD66DB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62486C05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14:paraId="56CAF918" w14:textId="77777777" w:rsidTr="6D3EC63E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76ECD13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X predavanja</w:t>
            </w:r>
          </w:p>
          <w:p w14:paraId="2EE02E77" w14:textId="77777777" w:rsidR="002176CE" w:rsidRPr="00E72FB4" w:rsidRDefault="00BE3D80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2176CE"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2B8167F0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E72FB4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0785F159" w14:textId="77777777" w:rsidR="002176CE" w:rsidRPr="00E72FB4" w:rsidRDefault="00BE3D80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2176CE"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14:paraId="79E036D2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964C1B3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1A39E4CA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036948D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72FB4" w:rsidRPr="00E72FB4" w14:paraId="4101652C" w14:textId="77777777" w:rsidTr="6D3EC63E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E72FB4" w:rsidRPr="00E72FB4" w14:paraId="50282D30" w14:textId="77777777" w:rsidTr="6D3EC6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61D779" w14:textId="77777777" w:rsidR="00BE3D80" w:rsidRPr="00E72FB4" w:rsidRDefault="00BE3D80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E1180D9" w14:textId="77777777" w:rsidR="00BE3D80" w:rsidRPr="00E72FB4" w:rsidRDefault="0054655F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4655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Studenti su dužni aktivno sudjelovati u nastavi. </w:t>
            </w:r>
            <w:r w:rsidRPr="00BE15D4">
              <w:rPr>
                <w:rFonts w:ascii="Arial" w:hAnsi="Arial" w:cs="Arial"/>
                <w:sz w:val="20"/>
                <w:szCs w:val="20"/>
              </w:rPr>
              <w:t xml:space="preserve">Aktivnost predstavlja obavezan dolazak na 50% predviđene nastave te pretpostavlja izlaganje individualnih i grupnih zadataka te sudjelovanje u praktičnim vježbama i raspravama. Aktivnost studenta pratit će se kroz i  </w:t>
            </w:r>
            <w:proofErr w:type="spellStart"/>
            <w:r w:rsidRPr="00BE15D4">
              <w:rPr>
                <w:rFonts w:ascii="Arial" w:hAnsi="Arial" w:cs="Arial"/>
                <w:sz w:val="20"/>
                <w:szCs w:val="20"/>
              </w:rPr>
              <w:t>samoevaluacijske</w:t>
            </w:r>
            <w:proofErr w:type="spellEnd"/>
            <w:r w:rsidRPr="00BE15D4">
              <w:rPr>
                <w:rFonts w:ascii="Arial" w:hAnsi="Arial" w:cs="Arial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BE15D4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BE15D4">
              <w:rPr>
                <w:rFonts w:ascii="Arial" w:hAnsi="Arial" w:cs="Arial"/>
                <w:sz w:val="20"/>
                <w:szCs w:val="20"/>
              </w:rPr>
              <w:t xml:space="preserve">. Studenti moraju pristupiti na 3 </w:t>
            </w:r>
            <w:proofErr w:type="spellStart"/>
            <w:r w:rsidRPr="00BE15D4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BE15D4">
              <w:rPr>
                <w:rFonts w:ascii="Arial" w:hAnsi="Arial" w:cs="Arial"/>
                <w:sz w:val="20"/>
                <w:szCs w:val="20"/>
              </w:rPr>
              <w:t xml:space="preserve"> testa i prezentirati referat na nastavi, u protivnom će im biti uskraćen potpis. Uz to 50% dolazaka na nastavu je uvijte za ostvarenje prava na potpis.  Uvjet za pristupanje ispitu je potpis</w:t>
            </w:r>
            <w:r w:rsidRPr="0054655F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BE3D80" w:rsidRPr="00E72FB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  <w:p w14:paraId="3CF2D8B6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14:paraId="4633CAC6" w14:textId="77777777" w:rsidTr="6D3EC63E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E72FB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E72FB4" w:rsidRPr="00E72FB4" w14:paraId="6D76A053" w14:textId="77777777" w:rsidTr="6D3EC63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2176CE" w:rsidRPr="00E72FB4" w:rsidRDefault="002176CE" w:rsidP="002176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17AEA76" w14:textId="77777777" w:rsidR="002176CE" w:rsidRPr="00E72FB4" w:rsidRDefault="002176CE" w:rsidP="002176CE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Samo evaluacijski zadaci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2176CE" w:rsidRPr="00E72FB4" w:rsidRDefault="002176CE" w:rsidP="002176CE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E72FB4" w:rsidRPr="00E72FB4" w14:paraId="40799739" w14:textId="77777777" w:rsidTr="6D3EC63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2176CE" w:rsidRPr="00E72FB4" w:rsidRDefault="002176CE" w:rsidP="002176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7868699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 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5B4FD0" w14:textId="77777777" w:rsidR="002176CE" w:rsidRPr="00E72FB4" w:rsidRDefault="00BE3D80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</w:t>
            </w:r>
            <w:r w:rsidR="002176CE"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,5*</w:t>
            </w:r>
          </w:p>
        </w:tc>
      </w:tr>
      <w:tr w:rsidR="00E72FB4" w:rsidRPr="00E72FB4" w14:paraId="37D5D135" w14:textId="77777777" w:rsidTr="6D3EC63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2176CE" w:rsidRPr="00E72FB4" w:rsidRDefault="002176CE" w:rsidP="002176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4CE0A41" w14:textId="77777777" w:rsidR="002176CE" w:rsidRPr="00E72FB4" w:rsidRDefault="002176CE" w:rsidP="00BE3D8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8FDB810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5F0D19A2" w14:textId="77777777" w:rsidTr="6D3EC63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2176CE" w:rsidRPr="00E72FB4" w:rsidRDefault="002176CE" w:rsidP="002176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98A12B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4951A6D2" w14:textId="77777777" w:rsidTr="6D3EC63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2176CE" w:rsidRPr="00E72FB4" w:rsidRDefault="002176CE" w:rsidP="002176CE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85A69C" w14:textId="77777777" w:rsidR="00BE3D80" w:rsidRPr="00E72FB4" w:rsidRDefault="00BE3D80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 održat će se provjere znanja putem dva usmena kolokvija. * Samo studenti koji su na </w:t>
            </w:r>
            <w:proofErr w:type="spellStart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testovima, koji prethode, kolokviju ostvarili 60% mogu pristupiti usmenom kolokviju. Polaganje oba kolokvija zamjenjuje završni ispit. Studenti na kraju semestra, prije usmenog ispita, pišu </w:t>
            </w:r>
            <w:proofErr w:type="spellStart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samoevaluaciji</w:t>
            </w:r>
            <w:proofErr w:type="spellEnd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 i pristupaju usmenom ispitu. Kolokvij i ispit se smatra položenim ukoliko student ostvari više od 60% točnih odgovora. </w:t>
            </w:r>
          </w:p>
          <w:p w14:paraId="2946DB82" w14:textId="77777777" w:rsidR="00BE3D80" w:rsidRPr="00E72FB4" w:rsidRDefault="00BE3D80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E1BE0A" w14:textId="77777777"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Bodovni pragovi i odgovarajuće ocjene za pisane provjere znanja:</w:t>
            </w:r>
          </w:p>
          <w:p w14:paraId="7D7A08B2" w14:textId="77777777"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0 - 59,99      nedovoljan (1)</w:t>
            </w:r>
          </w:p>
          <w:p w14:paraId="46C8DCF2" w14:textId="77777777"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60 - 69,99    dovoljan (2)</w:t>
            </w:r>
          </w:p>
          <w:p w14:paraId="605E4425" w14:textId="77777777"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70 - 79,99    dobar (3)</w:t>
            </w:r>
          </w:p>
          <w:p w14:paraId="621DACF5" w14:textId="77777777"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80 – 80,99    vrlo dobar (4)</w:t>
            </w:r>
          </w:p>
          <w:p w14:paraId="25F8D2C8" w14:textId="77777777"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90 -100  izvrstan (5)</w:t>
            </w:r>
          </w:p>
          <w:p w14:paraId="5997CC1D" w14:textId="77777777" w:rsidR="00BE3D80" w:rsidRPr="00E72FB4" w:rsidRDefault="00BE3D80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E09B856" w14:textId="77777777" w:rsidR="00BE3D80" w:rsidRPr="00E72FB4" w:rsidRDefault="00BE3D80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tijekom nastave mogu dobiti, svojim sudjelovanjem u nastavnom procesu, dodatnih maksimalno 10 bodova koji se zbrajaju s bodovima ostvarenim u provjerama. Navedeno pravilo se odnosi samo na studente koji u pisanim provjerama ostvare pozitivnu ocjenu (60% i više).</w:t>
            </w:r>
          </w:p>
          <w:p w14:paraId="110FFD37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14:paraId="10742E4A" w14:textId="77777777" w:rsidTr="6D3EC63E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2176CE" w:rsidRPr="00E72FB4" w:rsidRDefault="002176CE" w:rsidP="002176CE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E72FB4" w:rsidRPr="00E72FB4" w14:paraId="225959A2" w14:textId="77777777" w:rsidTr="6D3EC63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FABF49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E72FB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E72FB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E72FB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E72FB4" w:rsidRPr="00E72FB4" w14:paraId="3409B64F" w14:textId="77777777" w:rsidTr="6D3EC63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F72F646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CE6F91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315EF940" w14:textId="77777777" w:rsidTr="6D3EC63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B9E253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50B193A6" w14:textId="77777777" w:rsidTr="6D3EC63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DE523C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4CD1B3A8" w14:textId="77777777" w:rsidTr="6D3EC63E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2E56223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1D31046F" w14:textId="77777777" w:rsidTr="6D3EC63E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547A01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0564AC8D" w14:textId="77777777" w:rsidTr="6D3EC63E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043CB0F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514B35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30EF7DC8" w14:textId="77777777" w:rsidTr="6D3EC63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459315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0775EF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2A6BBB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473F94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195951FF" w14:textId="77777777" w:rsidTr="6D3EC63E">
        <w:trPr>
          <w:trHeight w:hRule="exact" w:val="29071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2176CE" w:rsidRPr="00E72FB4" w:rsidRDefault="002176CE" w:rsidP="002176C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Dopunska literatura </w:t>
            </w:r>
          </w:p>
          <w:p w14:paraId="6537F28F" w14:textId="77777777" w:rsidR="002176CE" w:rsidRPr="00E72FB4" w:rsidRDefault="002176CE" w:rsidP="002176C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D1D14C" w14:textId="24759C36" w:rsidR="6D3EC63E" w:rsidRDefault="6D3EC63E" w:rsidP="6D3EC63E">
            <w:pPr>
              <w:jc w:val="both"/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</w:pP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Rimac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Smiljanić,A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.</w:t>
            </w:r>
            <w:proofErr w:type="gram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Škrabić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Perić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B. (2022) Foreign-Owned Banks and Real Estate Markets in Croatia: A Panel Data Analysis, in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Olgić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Draženović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B.,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Buterin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V.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Suljić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Nikolaj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, S. (ed.) Real and Financial Sectors in Post-Pandemic Central and Eastern Europe: The Impact of Economic, Monetary, and Fiscal Policy, Springer Nature, accepted for publishing</w:t>
            </w:r>
          </w:p>
          <w:p w14:paraId="66400576" w14:textId="32DA6D0D" w:rsidR="6D3EC63E" w:rsidRDefault="6D3EC63E" w:rsidP="6D3EC63E">
            <w:pPr>
              <w:jc w:val="both"/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</w:pPr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Škrabić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Perić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B.,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Rimac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Smiljanić,A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.,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Kežić,I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. (2022) Role of tourism and hotel accommodation in house prices, Annals of Tourism Research Empirical Insights, 3 (1),  100036, </w:t>
            </w:r>
            <w:hyperlink r:id="rId7">
              <w:r w:rsidRPr="6D3EC63E">
                <w:rPr>
                  <w:rStyle w:val="Hiperveza"/>
                  <w:rFonts w:ascii="Arial Narrow" w:eastAsia="Arial Narrow" w:hAnsi="Arial Narrow" w:cs="Arial Narrow"/>
                  <w:color w:val="FF0000"/>
                  <w:sz w:val="20"/>
                  <w:szCs w:val="20"/>
                  <w:lang w:val="en-US"/>
                </w:rPr>
                <w:t>https://doi.org/10.1016/j.annale.2022.100036</w:t>
              </w:r>
            </w:hyperlink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.</w:t>
            </w:r>
          </w:p>
          <w:p w14:paraId="71973078" w14:textId="7E360AE1" w:rsidR="6D3EC63E" w:rsidRDefault="6D3EC63E" w:rsidP="6D3EC63E">
            <w:pPr>
              <w:jc w:val="both"/>
              <w:rPr>
                <w:color w:val="FF0000"/>
              </w:rPr>
            </w:pPr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Mário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Centeno (2021): The recovery of the European economy in the post-pandemic context – challenges and opportunities for the financial system, </w:t>
            </w:r>
            <w:hyperlink r:id="rId8">
              <w:r w:rsidRPr="6D3EC63E">
                <w:rPr>
                  <w:rStyle w:val="Hiperveza"/>
                  <w:rFonts w:ascii="Arial Narrow" w:eastAsia="Arial Narrow" w:hAnsi="Arial Narrow" w:cs="Arial Narrow"/>
                  <w:color w:val="FF0000"/>
                  <w:sz w:val="20"/>
                  <w:szCs w:val="20"/>
                  <w:lang w:val="en-US"/>
                </w:rPr>
                <w:t>https://www.bis.org/review/r211012h.htm</w:t>
              </w:r>
            </w:hyperlink>
          </w:p>
          <w:p w14:paraId="2697886B" w14:textId="5C7F182B" w:rsidR="6D3EC63E" w:rsidRDefault="6D3EC63E" w:rsidP="6D3EC63E">
            <w:pPr>
              <w:jc w:val="both"/>
              <w:rPr>
                <w:color w:val="FF0000"/>
              </w:rPr>
            </w:pPr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Škrabić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Perić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B.,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Rimac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Smiljanić,A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.</w:t>
            </w:r>
            <w:proofErr w:type="gram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Kežić,I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. (2021)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Utjecaj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turizma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na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cijene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stambenih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nekretnina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. in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Družić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G.,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Šimurina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N.,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Basarac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Sertić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M.,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Mihelja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Žaja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M.,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Kordić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, G. (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ed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Zbornik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radova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interkatedarskog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skupa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katedri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financije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Financije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svijetu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punom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izazova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. Zagreb,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Ekonomski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fakultet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Zagreb;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Hrvatska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akademija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znanosti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umjetnosti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 </w:t>
            </w:r>
            <w:hyperlink r:id="rId9">
              <w:r w:rsidRPr="6D3EC63E">
                <w:rPr>
                  <w:rStyle w:val="Hiperveza"/>
                  <w:rFonts w:ascii="Arial Narrow" w:eastAsia="Arial Narrow" w:hAnsi="Arial Narrow" w:cs="Arial Narrow"/>
                  <w:color w:val="FF0000"/>
                  <w:sz w:val="20"/>
                  <w:szCs w:val="20"/>
                  <w:lang w:val="en-US"/>
                </w:rPr>
                <w:t>https://dizbi.hazu.hr/a/?pr=i&amp;id=2347624</w:t>
              </w:r>
            </w:hyperlink>
          </w:p>
          <w:p w14:paraId="0EEB2B9D" w14:textId="73B14BB5" w:rsidR="6D3EC63E" w:rsidRDefault="6D3EC63E" w:rsidP="6D3EC63E">
            <w:pPr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val="en-US"/>
              </w:rPr>
            </w:pPr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r w:rsidRPr="6D3EC63E">
              <w:rPr>
                <w:rFonts w:ascii="Times New Roman" w:eastAsia="Times New Roman" w:hAnsi="Times New Roman"/>
                <w:color w:val="FF0000"/>
                <w:sz w:val="18"/>
                <w:szCs w:val="18"/>
                <w:lang w:val="en-US"/>
              </w:rPr>
              <w:t xml:space="preserve">Belton D, </w:t>
            </w:r>
            <w:proofErr w:type="spellStart"/>
            <w:r w:rsidRPr="6D3EC63E">
              <w:rPr>
                <w:rFonts w:ascii="Times New Roman" w:eastAsia="Times New Roman" w:hAnsi="Times New Roman"/>
                <w:color w:val="FF0000"/>
                <w:sz w:val="18"/>
                <w:szCs w:val="18"/>
                <w:lang w:val="en-US"/>
              </w:rPr>
              <w:t>Gambacorta</w:t>
            </w:r>
            <w:proofErr w:type="spellEnd"/>
            <w:r w:rsidRPr="6D3EC63E">
              <w:rPr>
                <w:rFonts w:ascii="Times New Roman" w:eastAsia="Times New Roman" w:hAnsi="Times New Roman"/>
                <w:color w:val="FF0000"/>
                <w:sz w:val="18"/>
                <w:szCs w:val="18"/>
                <w:lang w:val="en-US"/>
              </w:rPr>
              <w:t xml:space="preserve"> L, </w:t>
            </w:r>
            <w:proofErr w:type="spellStart"/>
            <w:r w:rsidRPr="6D3EC63E">
              <w:rPr>
                <w:rFonts w:ascii="Times New Roman" w:eastAsia="Times New Roman" w:hAnsi="Times New Roman"/>
                <w:color w:val="FF0000"/>
                <w:sz w:val="18"/>
                <w:szCs w:val="18"/>
                <w:lang w:val="en-US"/>
              </w:rPr>
              <w:t>Kokas</w:t>
            </w:r>
            <w:proofErr w:type="spellEnd"/>
            <w:r w:rsidRPr="6D3EC63E">
              <w:rPr>
                <w:rFonts w:ascii="Times New Roman" w:eastAsia="Times New Roman" w:hAnsi="Times New Roman"/>
                <w:color w:val="FF0000"/>
                <w:sz w:val="18"/>
                <w:szCs w:val="18"/>
                <w:lang w:val="en-US"/>
              </w:rPr>
              <w:t xml:space="preserve"> S, </w:t>
            </w:r>
            <w:proofErr w:type="spellStart"/>
            <w:r w:rsidRPr="6D3EC63E">
              <w:rPr>
                <w:rFonts w:ascii="Times New Roman" w:eastAsia="Times New Roman" w:hAnsi="Times New Roman"/>
                <w:color w:val="FF0000"/>
                <w:sz w:val="18"/>
                <w:szCs w:val="18"/>
                <w:lang w:val="en-US"/>
              </w:rPr>
              <w:t>Minetti</w:t>
            </w:r>
            <w:proofErr w:type="spellEnd"/>
            <w:r w:rsidRPr="6D3EC63E">
              <w:rPr>
                <w:rFonts w:ascii="Times New Roman" w:eastAsia="Times New Roman" w:hAnsi="Times New Roman"/>
                <w:color w:val="FF0000"/>
                <w:sz w:val="18"/>
                <w:szCs w:val="18"/>
                <w:lang w:val="en-US"/>
              </w:rPr>
              <w:t xml:space="preserve"> R (2021) Foreign Banks, Liquidity Shocks, and Credit Stability. Rev Corp Finance Stud Published online October 2021. doi:10.1093/</w:t>
            </w:r>
            <w:proofErr w:type="spellStart"/>
            <w:r w:rsidRPr="6D3EC63E">
              <w:rPr>
                <w:rFonts w:ascii="Times New Roman" w:eastAsia="Times New Roman" w:hAnsi="Times New Roman"/>
                <w:color w:val="FF0000"/>
                <w:sz w:val="18"/>
                <w:szCs w:val="18"/>
                <w:lang w:val="en-US"/>
              </w:rPr>
              <w:t>rcfs</w:t>
            </w:r>
            <w:proofErr w:type="spellEnd"/>
            <w:r w:rsidRPr="6D3EC63E">
              <w:rPr>
                <w:rFonts w:ascii="Times New Roman" w:eastAsia="Times New Roman" w:hAnsi="Times New Roman"/>
                <w:color w:val="FF0000"/>
                <w:sz w:val="18"/>
                <w:szCs w:val="18"/>
                <w:lang w:val="en-US"/>
              </w:rPr>
              <w:t xml:space="preserve">/cfab020. </w:t>
            </w:r>
          </w:p>
          <w:p w14:paraId="58CBA4C6" w14:textId="25B510CE" w:rsidR="6D3EC63E" w:rsidRDefault="6D3EC63E" w:rsidP="6D3EC63E">
            <w:pPr>
              <w:jc w:val="both"/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</w:pPr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Koumpias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AM,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Martínez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-Vázquez J,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Sanz-Arcega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E. (2021) Housing bubbles and land planning corruption: evidence from Spain’s largest municipalities.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Appl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Econ Anal. </w:t>
            </w:r>
            <w:proofErr w:type="gram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2021;ahead</w:t>
            </w:r>
            <w:proofErr w:type="gram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-of-print(ahead-of-print). doi:10.1108/AEA-11-2020-0159</w:t>
            </w:r>
          </w:p>
          <w:p w14:paraId="0CDF707F" w14:textId="33EFFAE3" w:rsidR="6D3EC63E" w:rsidRDefault="6D3EC63E" w:rsidP="6D3EC63E">
            <w:pPr>
              <w:jc w:val="both"/>
              <w:rPr>
                <w:color w:val="FF0000"/>
              </w:rPr>
            </w:pPr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Škrabić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Perić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B.,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Smiljanić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Rimac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A. (2021) Derivatives Markets Development and Country Political Risk, SOR '21 proceedings : the 16th International Symposium on Operational Research in Slovenia 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Drobne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S. ;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Zadnik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Stirn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Lidija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;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Kljajić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Borštnar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Mirjana. ;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Povh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Janez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;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Žerovnik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Janez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ur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.), </w:t>
            </w:r>
            <w:hyperlink r:id="rId10">
              <w:r w:rsidRPr="6D3EC63E">
                <w:rPr>
                  <w:rStyle w:val="Hiperveza"/>
                  <w:rFonts w:ascii="Arial Narrow" w:eastAsia="Arial Narrow" w:hAnsi="Arial Narrow" w:cs="Arial Narrow"/>
                  <w:color w:val="FF0000"/>
                  <w:sz w:val="20"/>
                  <w:szCs w:val="20"/>
                  <w:lang w:val="en-US"/>
                </w:rPr>
                <w:t>http://fgg-web.fgg.uni-lj.si/~/sdrobne/sor/SOR'21%20-%20Proceedings.pdf</w:t>
              </w:r>
            </w:hyperlink>
          </w:p>
          <w:p w14:paraId="24E535F1" w14:textId="6771771F" w:rsidR="6D3EC63E" w:rsidRDefault="6D3EC63E" w:rsidP="6D3EC63E">
            <w:pPr>
              <w:jc w:val="both"/>
              <w:rPr>
                <w:color w:val="FF0000"/>
              </w:rPr>
            </w:pPr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Adrian (2021) The Future of Finance and the Global Economy: Facing Global Forces, Shaping Global Solutions, </w:t>
            </w:r>
            <w:hyperlink r:id="rId11">
              <w:r w:rsidRPr="6D3EC63E">
                <w:rPr>
                  <w:rStyle w:val="Hiperveza"/>
                  <w:rFonts w:ascii="Arial Narrow" w:eastAsia="Arial Narrow" w:hAnsi="Arial Narrow" w:cs="Arial Narrow"/>
                  <w:color w:val="FF0000"/>
                  <w:sz w:val="20"/>
                  <w:szCs w:val="20"/>
                  <w:lang w:val="en-US"/>
                </w:rPr>
                <w:t>https://www.imf.org/en/News/Articles/2021/09/27/sp092721-the-future-of-finance-and-the-global-economy?utm_medium=email&amp;utm_source=govdelivery</w:t>
              </w:r>
            </w:hyperlink>
          </w:p>
          <w:p w14:paraId="11BCD1FB" w14:textId="5C078045" w:rsidR="6D3EC63E" w:rsidRDefault="6D3EC63E" w:rsidP="6D3EC63E">
            <w:pPr>
              <w:jc w:val="both"/>
              <w:rPr>
                <w:color w:val="FF0000"/>
              </w:rPr>
            </w:pPr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Pepur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S.,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Rimac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Smiljanić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A.,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Vukava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I. (2021)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Mirovinska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pismenost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studenata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formalna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financijska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edukacija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(Student Pension Literacy and Formal Financial Education), in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Družić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G.,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Šimurina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N.,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Basarac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Sertić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M.,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Mihelja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Žaja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M.,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Kordić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, G. (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ed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Zbornik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radova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interkatedarskog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skupa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katedri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financije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Financije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svijetu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punom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izazova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. Zagreb,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Ekonomski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fakultet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Zagreb;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Hrvatska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akademija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znanosti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umjetnosti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2021, </w:t>
            </w:r>
            <w:hyperlink r:id="rId12">
              <w:r w:rsidRPr="6D3EC63E">
                <w:rPr>
                  <w:rStyle w:val="Hiperveza"/>
                  <w:rFonts w:ascii="Arial Narrow" w:eastAsia="Arial Narrow" w:hAnsi="Arial Narrow" w:cs="Arial Narrow"/>
                  <w:color w:val="FF0000"/>
                  <w:sz w:val="20"/>
                  <w:szCs w:val="20"/>
                  <w:lang w:val="en-US"/>
                </w:rPr>
                <w:t>https://dizbi.hazu.hr/a/?pr=i&amp;id=2347453</w:t>
              </w:r>
            </w:hyperlink>
          </w:p>
          <w:p w14:paraId="31295D2B" w14:textId="1915E258" w:rsidR="6D3EC63E" w:rsidRDefault="6D3EC63E" w:rsidP="6D3EC63E">
            <w:pPr>
              <w:jc w:val="both"/>
              <w:rPr>
                <w:color w:val="FF0000"/>
              </w:rPr>
            </w:pPr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Bulog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</w:t>
            </w:r>
            <w:proofErr w:type="gram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I.,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Bakotić</w:t>
            </w:r>
            <w:proofErr w:type="spellEnd"/>
            <w:proofErr w:type="gram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D.,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Rimac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Smiljanić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A, (2021)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Financijska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pismenost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poduzetničke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intencije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studenata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Hrvatskoj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(Financial Literacy and Entrepreneurial Intentions of Students in Croatia), in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Družić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G.,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Šimurina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N.,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Basarac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Sertić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M.,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Mihelja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Žaja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M.,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Kordić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, G. (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ed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Zbornik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radova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interkatedarskog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skupa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katedri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financije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Financije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svijetu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punom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izazova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. Zagreb,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Ekonomski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fakultet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Zagreb;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Hrvatska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akademija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znanosti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umjetnosti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2021, </w:t>
            </w:r>
            <w:hyperlink r:id="rId13">
              <w:r w:rsidRPr="6D3EC63E">
                <w:rPr>
                  <w:rStyle w:val="Hiperveza"/>
                  <w:rFonts w:ascii="Arial Narrow" w:eastAsia="Arial Narrow" w:hAnsi="Arial Narrow" w:cs="Arial Narrow"/>
                  <w:color w:val="FF0000"/>
                  <w:sz w:val="20"/>
                  <w:szCs w:val="20"/>
                  <w:lang w:val="en-US"/>
                </w:rPr>
                <w:t>https://dizbi.hazu.hr/a/?pr=i&amp;id=2347472</w:t>
              </w:r>
            </w:hyperlink>
          </w:p>
          <w:p w14:paraId="37CC08AB" w14:textId="31251417" w:rsidR="6D3EC63E" w:rsidRDefault="6D3EC63E" w:rsidP="6D3EC63E">
            <w:pPr>
              <w:jc w:val="both"/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</w:pPr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Tran Hung Son, Nguyen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Thanh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Liem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Nguyen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Vinh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Khuong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, Robin H. Luo (2020) Corruption, nonperforming loans, and economic growth: International evidence, Cogent Business &amp; Management, 7:1, DOI: 10.1080/23311975.2020.1735691</w:t>
            </w:r>
          </w:p>
          <w:p w14:paraId="691324B8" w14:textId="130B084B" w:rsidR="6D3EC63E" w:rsidRDefault="6D3EC63E" w:rsidP="6D3EC63E">
            <w:pPr>
              <w:jc w:val="both"/>
              <w:rPr>
                <w:color w:val="FF0000"/>
              </w:rPr>
            </w:pPr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Erenm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Wooldridge (2021) Non - bank financial institutions and the functioning of government bond markets, </w:t>
            </w:r>
            <w:hyperlink r:id="rId14">
              <w:r w:rsidRPr="6D3EC63E">
                <w:rPr>
                  <w:rStyle w:val="Hiperveza"/>
                  <w:rFonts w:ascii="Arial Narrow" w:eastAsia="Arial Narrow" w:hAnsi="Arial Narrow" w:cs="Arial Narrow"/>
                  <w:color w:val="FF0000"/>
                  <w:sz w:val="20"/>
                  <w:szCs w:val="20"/>
                  <w:lang w:val="en-US"/>
                </w:rPr>
                <w:t>https://www.bis.org/publ/bppdf/bispap119.htm</w:t>
              </w:r>
            </w:hyperlink>
          </w:p>
          <w:p w14:paraId="13E6A7D9" w14:textId="7A584997" w:rsidR="6D3EC63E" w:rsidRDefault="6D3EC63E" w:rsidP="6D3EC63E">
            <w:pPr>
              <w:jc w:val="both"/>
              <w:rPr>
                <w:color w:val="FF0000"/>
              </w:rPr>
            </w:pPr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Bhansali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(2021.) The Incredible Upside-Down Fixed-Income Market Negative Interest Rates and Their Implications, CFA Institute, </w:t>
            </w:r>
            <w:hyperlink r:id="rId15">
              <w:r w:rsidRPr="6D3EC63E">
                <w:rPr>
                  <w:rStyle w:val="Hiperveza"/>
                  <w:rFonts w:ascii="Arial Narrow" w:eastAsia="Arial Narrow" w:hAnsi="Arial Narrow" w:cs="Arial Narrow"/>
                  <w:color w:val="FF0000"/>
                  <w:sz w:val="20"/>
                  <w:szCs w:val="20"/>
                  <w:lang w:val="en-US"/>
                </w:rPr>
                <w:t>https://www.cfainstitute.org/en/research/foundation/2021/negative-interest-rates</w:t>
              </w:r>
            </w:hyperlink>
          </w:p>
          <w:p w14:paraId="2DAEBD6D" w14:textId="59DED6BC" w:rsidR="6D3EC63E" w:rsidRDefault="6D3EC63E" w:rsidP="6D3EC63E">
            <w:pPr>
              <w:jc w:val="both"/>
              <w:rPr>
                <w:color w:val="FF0000"/>
              </w:rPr>
            </w:pPr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Ignazio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Visco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(2021) The crisis management framework for banks in the EU. How can we deal with the crisis of small and medium-sized banks? </w:t>
            </w:r>
            <w:hyperlink r:id="rId16">
              <w:r w:rsidRPr="6D3EC63E">
                <w:rPr>
                  <w:rStyle w:val="Hiperveza"/>
                  <w:rFonts w:ascii="Arial Narrow" w:eastAsia="Arial Narrow" w:hAnsi="Arial Narrow" w:cs="Arial Narrow"/>
                  <w:color w:val="FF0000"/>
                  <w:sz w:val="20"/>
                  <w:szCs w:val="20"/>
                  <w:lang w:val="en-US"/>
                </w:rPr>
                <w:t>https://www.bis.org/review/r210211h.htm</w:t>
              </w:r>
            </w:hyperlink>
          </w:p>
          <w:p w14:paraId="139A8B56" w14:textId="04F569F3" w:rsidR="6D3EC63E" w:rsidRDefault="6D3EC63E" w:rsidP="6D3EC63E">
            <w:pPr>
              <w:jc w:val="both"/>
              <w:rPr>
                <w:color w:val="FF0000"/>
              </w:rPr>
            </w:pPr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Sirio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Aramonte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Andreas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Schrimpf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Hyun Song Shin (2021) Non-bank financial intermediaries and financial stability, </w:t>
            </w:r>
            <w:hyperlink r:id="rId17">
              <w:r w:rsidRPr="6D3EC63E">
                <w:rPr>
                  <w:rStyle w:val="Hiperveza"/>
                  <w:rFonts w:ascii="Arial Narrow" w:eastAsia="Arial Narrow" w:hAnsi="Arial Narrow" w:cs="Arial Narrow"/>
                  <w:color w:val="FF0000"/>
                  <w:sz w:val="20"/>
                  <w:szCs w:val="20"/>
                  <w:lang w:val="en-US"/>
                </w:rPr>
                <w:t>https://www.bis.org/publ/work972.htm</w:t>
              </w:r>
            </w:hyperlink>
          </w:p>
          <w:p w14:paraId="41BAC585" w14:textId="5AFB1E61" w:rsidR="6D3EC63E" w:rsidRDefault="6D3EC63E" w:rsidP="6D3EC63E">
            <w:pPr>
              <w:jc w:val="both"/>
              <w:rPr>
                <w:color w:val="FF0000"/>
              </w:rPr>
            </w:pPr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Ugo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Panizza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(2021) State-Owned Commercial Banks," IHEID Working Papers 09-2021, Economics Section, The Graduate Institute of International Studies, </w:t>
            </w:r>
            <w:hyperlink r:id="rId18">
              <w:r w:rsidRPr="6D3EC63E">
                <w:rPr>
                  <w:rStyle w:val="Hiperveza"/>
                  <w:rFonts w:ascii="Arial Narrow" w:eastAsia="Arial Narrow" w:hAnsi="Arial Narrow" w:cs="Arial Narrow"/>
                  <w:color w:val="FF0000"/>
                  <w:sz w:val="20"/>
                  <w:szCs w:val="20"/>
                  <w:lang w:val="en-US"/>
                </w:rPr>
                <w:t>https://ideas.repec.org/p/gii/giihei/heidwp09-2021.html</w:t>
              </w:r>
            </w:hyperlink>
          </w:p>
          <w:p w14:paraId="5DEC28F6" w14:textId="3AFD5180" w:rsidR="6D3EC63E" w:rsidRDefault="6D3EC63E" w:rsidP="6D3EC63E">
            <w:pPr>
              <w:jc w:val="both"/>
              <w:rPr>
                <w:color w:val="FF0000"/>
              </w:rPr>
            </w:pPr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Shen (2021) Global Banking and Firm Financing: A Double Adverse Selection Channel of International Transmission, </w:t>
            </w:r>
            <w:hyperlink r:id="rId19">
              <w:r w:rsidRPr="6D3EC63E">
                <w:rPr>
                  <w:rStyle w:val="Hiperveza"/>
                  <w:rFonts w:ascii="Arial Narrow" w:eastAsia="Arial Narrow" w:hAnsi="Arial Narrow" w:cs="Arial Narrow"/>
                  <w:color w:val="FF0000"/>
                  <w:sz w:val="20"/>
                  <w:szCs w:val="20"/>
                  <w:lang w:val="en-US"/>
                </w:rPr>
                <w:t>https://www.federalreserve.gov/econres/ifdp/files/ifdp1325.pdf</w:t>
              </w:r>
            </w:hyperlink>
          </w:p>
          <w:p w14:paraId="3A7086CE" w14:textId="23448DA1" w:rsidR="6D3EC63E" w:rsidRDefault="6D3EC63E" w:rsidP="6D3EC63E">
            <w:pPr>
              <w:jc w:val="both"/>
              <w:rPr>
                <w:color w:val="FF0000"/>
              </w:rPr>
            </w:pP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Niţoi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M.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Clichici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D.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Moagăr-Poladian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S (2021) Foreign Banks in Central and Eastern Europe: The Good, the Bad and the Ugly.  Prague Economic Papers. Prague University of Economics and Business. (5): 596-612., </w:t>
            </w:r>
            <w:hyperlink r:id="rId20">
              <w:r w:rsidRPr="6D3EC63E">
                <w:rPr>
                  <w:rStyle w:val="Hiperveza"/>
                  <w:rFonts w:ascii="Arial Narrow" w:eastAsia="Arial Narrow" w:hAnsi="Arial Narrow" w:cs="Arial Narrow"/>
                  <w:color w:val="FF0000"/>
                  <w:sz w:val="20"/>
                  <w:szCs w:val="20"/>
                  <w:lang w:val="en-US"/>
                </w:rPr>
                <w:t>https://pep.vse.cz/artkey/pep-202105-0005_foreign-banks-in-central-and-eastern-europe-the-good-the-bad-and-the-ugly.php</w:t>
              </w:r>
            </w:hyperlink>
          </w:p>
          <w:p w14:paraId="11B6F053" w14:textId="3C63E566" w:rsidR="6D3EC63E" w:rsidRDefault="6D3EC63E" w:rsidP="6D3EC63E">
            <w:pPr>
              <w:jc w:val="both"/>
              <w:rPr>
                <w:color w:val="FF0000"/>
              </w:rPr>
            </w:pP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it"/>
              </w:rPr>
              <w:t>Pepur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it"/>
              </w:rPr>
              <w:t xml:space="preserve">, S,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it"/>
              </w:rPr>
              <w:t>Rimac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it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it"/>
              </w:rPr>
              <w:t>Smiljanić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it"/>
              </w:rPr>
              <w:t xml:space="preserve">, A.,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it"/>
              </w:rPr>
              <w:t>Vukava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it"/>
              </w:rPr>
              <w:t xml:space="preserve">, I (2019)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it"/>
              </w:rPr>
              <w:t>Potiču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it"/>
              </w:rPr>
              <w:t xml:space="preserve"> li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it"/>
              </w:rPr>
              <w:t>financijska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it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it"/>
              </w:rPr>
              <w:t>znanja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it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it"/>
              </w:rPr>
              <w:t>planiranje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it"/>
              </w:rPr>
              <w:t xml:space="preserve"> za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it"/>
              </w:rPr>
              <w:t>mirovinu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it"/>
              </w:rPr>
              <w:t xml:space="preserve">? </w:t>
            </w:r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(Do Financial Knowledge Encourage Retirement Planning?) in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Rimac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Smiljanić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A.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Šimić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Šarić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M.,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Visković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J.(ed.)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Financijska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kretanja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najnoviji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događaji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perspektive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Sveučilište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Splitu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Ekonomski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fakultet</w:t>
            </w:r>
            <w:proofErr w:type="spellEnd"/>
            <w:r w:rsidRPr="6D3EC63E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Split, 2019. pp. 323-349, </w:t>
            </w:r>
            <w:hyperlink r:id="rId21">
              <w:r w:rsidRPr="6D3EC63E">
                <w:rPr>
                  <w:rStyle w:val="Hiperveza"/>
                  <w:rFonts w:ascii="Arial Narrow" w:eastAsia="Arial Narrow" w:hAnsi="Arial Narrow" w:cs="Arial Narrow"/>
                  <w:color w:val="FF0000"/>
                  <w:sz w:val="20"/>
                  <w:szCs w:val="20"/>
                  <w:lang w:val="en-US"/>
                </w:rPr>
                <w:t>https://bib.irb.hr/datoteka/1045675.Financijska_kretanja_najnoviji_dogaaji_i_perspektive_znanstvena_e-knjiga_1.pdf</w:t>
              </w:r>
            </w:hyperlink>
          </w:p>
          <w:p w14:paraId="3355CF23" w14:textId="77777777" w:rsidR="00E047A1" w:rsidRPr="00E72FB4" w:rsidRDefault="6D3EC63E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Allen, F.,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Jackowicz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K.,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Kowalewski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O.,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Kozłowski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Ł., (2017.) Bank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lending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crises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changing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ownership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structure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Central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Eastern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European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J. Corp.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42, 494–515. </w:t>
            </w:r>
            <w:hyperlink r:id="rId22">
              <w:r w:rsidRPr="6D3EC63E">
                <w:rPr>
                  <w:rStyle w:val="Hiperveza"/>
                  <w:rFonts w:ascii="Times New Roman" w:hAnsi="Times New Roman"/>
                  <w:sz w:val="20"/>
                  <w:szCs w:val="20"/>
                </w:rPr>
                <w:t>https://doi.org/10.1016/j.jcorpfin.2015.05.001</w:t>
              </w:r>
            </w:hyperlink>
          </w:p>
          <w:p w14:paraId="3094256E" w14:textId="77777777"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Arakelyan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M., 2018.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Foreign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Banks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Credit Dynamics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CESEE (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Working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Paper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No. No. 18/3), IMF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Working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Paper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DA584B5" w14:textId="77777777"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Ashraf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B.N.,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Arshad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S., (2017).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Foreign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bank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subsidiaries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’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risk-taking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behavior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Impact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home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host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country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national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culture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Bus.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41, 318–335. https://doi.org/10.1016/j.ribaf.2017.04.039</w:t>
            </w:r>
          </w:p>
          <w:p w14:paraId="6E9EC5C3" w14:textId="77777777" w:rsidR="00E047A1" w:rsidRPr="00E72FB4" w:rsidRDefault="6D3EC63E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B.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Eichengreen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A. Rose (1998) "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Staying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Afloat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When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Wind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Changes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External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Factors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Emerging-Market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Banking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Crises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” NBER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Working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Paper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6730,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January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6F04EBA5" w14:textId="77777777"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Beck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A.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Demirguc-Kunt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Levine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(2002) "Bank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Concentration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Crisis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" World Bank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Working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Paper</w:t>
            </w:r>
            <w:proofErr w:type="spellEnd"/>
          </w:p>
          <w:p w14:paraId="0E3FFFC9" w14:textId="77777777"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Demirguc-Kunt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A.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Levine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R. (2001) Financial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Structure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Growth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A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Cross-Country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Comparison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Banks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Markets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Development, MIT Press</w:t>
            </w:r>
          </w:p>
          <w:p w14:paraId="4290AD55" w14:textId="77777777" w:rsidR="00E047A1" w:rsidRPr="00E72FB4" w:rsidRDefault="6D3EC63E" w:rsidP="6D3EC63E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Kraft,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Payne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Hofler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(2006) "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Privatization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Foreign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Bank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Entry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Bank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Efficiency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Croatia: A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Fourier-Flexible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Stochastic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Frontier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" Applied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Economics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Volume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38, 2006, p. 2075-2088.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With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James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Payne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Richard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Hofler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.</w:t>
            </w:r>
          </w:p>
          <w:p w14:paraId="7C1C8BBC" w14:textId="75E058E2" w:rsidR="00E047A1" w:rsidRPr="00E72FB4" w:rsidRDefault="6D3EC63E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Giese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J.,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Haldane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A. (2020.) COVID-19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financial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system: a tale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two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crises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Oxford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Policy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Volume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36,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Issue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Supplement_1, 2020, pp.200–S214.. https://doi.org/10.1016/j.irfa.2015.11.010</w:t>
            </w:r>
          </w:p>
          <w:p w14:paraId="39557DEC" w14:textId="623721C4" w:rsidR="00E047A1" w:rsidRPr="00E72FB4" w:rsidRDefault="6D3EC63E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Kutlu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E. (2018): Financial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literacy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among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university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students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A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study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eight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European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International Journal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Costumers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Study,Vol</w:t>
            </w:r>
            <w:proofErr w:type="spellEnd"/>
            <w:r w:rsidRPr="6D3EC6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42, str. 2-15, https://doi.org/10.1111/ijcs.12408</w:t>
            </w:r>
          </w:p>
          <w:p w14:paraId="3DD57622" w14:textId="77777777" w:rsidR="00E047A1" w:rsidRPr="00E72FB4" w:rsidRDefault="6D3EC63E" w:rsidP="6D3EC63E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, S, Rimac Smiljanić,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Vukava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, I. (2020.). Mirovinska pismenost studenata i formalno financijsko obrazovanje studenata, rad u pripremi</w:t>
            </w:r>
          </w:p>
          <w:p w14:paraId="23EBDA57" w14:textId="77777777" w:rsidR="00E047A1" w:rsidRPr="00E72FB4" w:rsidRDefault="6D3EC63E" w:rsidP="6D3EC63E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, S., Rimac Smiljanić, A.,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Vukava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, I. (2019), Potiču li financijska znanja planiranje za mirovinu? u: Financijska kretanja – najnoviji događaji  perspektive, Rimac Smiljanić, A., Šimić Šarić, M., Visković, J., Ekonomski fakultet Sveučilišta u Splitu, Splitu,  str. 323.-349.</w:t>
            </w:r>
          </w:p>
          <w:p w14:paraId="36507B08" w14:textId="77777777" w:rsidR="00E047A1" w:rsidRPr="00E72FB4" w:rsidRDefault="6D3EC63E" w:rsidP="6D3EC63E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R.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Clarke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, R.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Cull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,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Martinez-Peria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S.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Sanchez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(2001), "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Foreign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bank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entry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Experiences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, </w:t>
            </w:r>
            <w:r w:rsidR="00E047A1">
              <w:tab/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Implications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Developing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Agenda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for Future Research" World Bank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Working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Paper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2698</w:t>
            </w:r>
          </w:p>
          <w:p w14:paraId="6D248F84" w14:textId="77777777"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R. King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Levine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(1993), "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Growth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Schumpeter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Might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Right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",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Quarterly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  <w:t xml:space="preserve">Journal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Economics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108(3) 1993</w:t>
            </w:r>
          </w:p>
          <w:p w14:paraId="48A685A6" w14:textId="77777777"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Levine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(2002), "Bank-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based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market-based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Financial Systems: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Which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Better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?", NBER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Working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Paper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9138</w:t>
            </w:r>
          </w:p>
          <w:p w14:paraId="61CAA034" w14:textId="77777777" w:rsidR="00E047A1" w:rsidRPr="00E72FB4" w:rsidRDefault="6D3EC63E" w:rsidP="6D3EC63E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Rimac Smiljanić, A. (2011). Cijene imovine, percepcija sustavnog rizika i financijska stabilnost, doktorska disertacija, Ekonomski fakultet u Splitu.</w:t>
            </w:r>
          </w:p>
          <w:p w14:paraId="3F1CA88F" w14:textId="77777777"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Rimac Smiljanić, A.,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S.,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Karadža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S. (2014.): Krediti razvojne banke i performanse SME u uvjetima financijske krize, Financije nakon krize: Forenzika, etika i održivost, (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Ćurak, M., Kundid, A., Visković, J.), EFST</w:t>
            </w:r>
          </w:p>
          <w:p w14:paraId="1C153AB1" w14:textId="77777777"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Rimac Smiljanić, A.,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S.;, Matković, K. (2012), Financijska kriza, povezano kreditiranje i eksterno financiranje SME sektora, u Mala i srednja poduzeća financijska politika i financijsko ekonomski okvir podrške, prof. dr.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Ljiljana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.).</w:t>
            </w:r>
          </w:p>
          <w:p w14:paraId="32DBBF05" w14:textId="77777777"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Split: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Ekonomksi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fakultet u Splitu, 2012. str. 179-204.</w:t>
            </w:r>
          </w:p>
          <w:p w14:paraId="0B51C52C" w14:textId="77777777"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Škrabić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Perić, B., Rimac Smiljanić, A.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Aljinović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Z. (2018.): Credit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risk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subsidiaries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foreign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banks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CEE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Impacts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parent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bank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home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country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environment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North American Journal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Economics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Available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online 11 April 2018, https://doi.org/10.1016/j.najef.2018.03.009</w:t>
            </w:r>
          </w:p>
          <w:p w14:paraId="1EB9A68A" w14:textId="77777777" w:rsidR="00E047A1" w:rsidRPr="00E72FB4" w:rsidRDefault="6D3EC63E" w:rsidP="6D3EC63E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Temesvary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, J.,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Banai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, A., 2017.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drivers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foreign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bank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lending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Central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Eastern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Europe: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roles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parent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subsidiary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host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market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traits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. J.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Int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. Money </w:t>
            </w:r>
            <w:proofErr w:type="spellStart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6D3EC63E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79, 157–173. https://doi.org/10.1016/j.jimonfin.2017.08.005</w:t>
            </w:r>
          </w:p>
          <w:p w14:paraId="0F0467D3" w14:textId="77777777"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World Bank (2018): Global Financial Development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Report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2017/2018 :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Bankers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without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Borders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Wolrl</w:t>
            </w:r>
            <w:proofErr w:type="spellEnd"/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Bank, </w:t>
            </w:r>
            <w:hyperlink r:id="rId23" w:history="1">
              <w:r w:rsidRPr="00E72FB4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https://openknowledge.worldbank.org/handle/10986/28482?show=full</w:t>
              </w:r>
            </w:hyperlink>
          </w:p>
          <w:p w14:paraId="6DFB9E20" w14:textId="77777777"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CF56DFF" w14:textId="77777777"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Vijesti, slučajevi i podaci  s portala Banke za međunarodna poravnanja https://www.bis.org/</w:t>
            </w:r>
          </w:p>
          <w:p w14:paraId="4F9D3198" w14:textId="77777777" w:rsidR="00E047A1" w:rsidRPr="00E72FB4" w:rsidRDefault="00E047A1" w:rsidP="00E047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Vijesti, slučajevi i podaci  s portala Svjetske banke  https://www.Worldbank.org</w:t>
            </w:r>
          </w:p>
          <w:p w14:paraId="13A3D16B" w14:textId="77777777" w:rsidR="002176CE" w:rsidRPr="00E72FB4" w:rsidRDefault="00E047A1" w:rsidP="00E047A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Vijesti, slučajevi i podaci  s portala Međunarodnog monetarnog fonda, www.imf.org</w:t>
            </w:r>
          </w:p>
        </w:tc>
      </w:tr>
      <w:tr w:rsidR="00E72FB4" w:rsidRPr="00E72FB4" w14:paraId="53F4421D" w14:textId="77777777" w:rsidTr="6D3EC63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2176CE" w:rsidRPr="00E72FB4" w:rsidRDefault="002176CE" w:rsidP="002176C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2176CE" w:rsidRPr="00E72FB4" w:rsidRDefault="002176CE" w:rsidP="002176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2176CE" w:rsidRPr="00E72FB4" w:rsidRDefault="002176CE" w:rsidP="002176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38D1BD8" w14:textId="77777777" w:rsidR="002176CE" w:rsidRPr="00E72FB4" w:rsidRDefault="002176CE" w:rsidP="002176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2176CE" w:rsidRPr="00E72FB4" w:rsidRDefault="002176CE" w:rsidP="002176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2176CE" w:rsidRPr="00E72FB4" w:rsidRDefault="002176CE" w:rsidP="002176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E72FB4" w:rsidRPr="00E72FB4" w14:paraId="3390F251" w14:textId="77777777" w:rsidTr="6D3EC6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2176CE" w:rsidRPr="00E72FB4" w:rsidRDefault="002176CE" w:rsidP="002176C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7A1098" w14:textId="77777777" w:rsidR="002176CE" w:rsidRPr="00E72FB4" w:rsidRDefault="002176CE" w:rsidP="002176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70DF9E56" w14:textId="77777777" w:rsidR="00105D25" w:rsidRPr="00E72FB4" w:rsidRDefault="00105D25">
      <w:pPr>
        <w:rPr>
          <w:color w:val="000000" w:themeColor="text1"/>
        </w:rPr>
      </w:pPr>
    </w:p>
    <w:sectPr w:rsidR="00105D25" w:rsidRPr="00E72FB4" w:rsidSect="00105D25">
      <w:footerReference w:type="defaul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ED088A" w14:textId="77777777" w:rsidR="00524E35" w:rsidRDefault="00524E35" w:rsidP="005A5A21">
      <w:pPr>
        <w:spacing w:after="0" w:line="240" w:lineRule="auto"/>
      </w:pPr>
      <w:r>
        <w:separator/>
      </w:r>
    </w:p>
  </w:endnote>
  <w:endnote w:type="continuationSeparator" w:id="0">
    <w:p w14:paraId="5100658D" w14:textId="77777777" w:rsidR="00524E35" w:rsidRDefault="00524E35" w:rsidP="005A5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217C4A" w:rsidRPr="00217C4A" w:rsidRDefault="00217C4A" w:rsidP="00217C4A">
    <w:pPr>
      <w:tabs>
        <w:tab w:val="left" w:pos="1207"/>
        <w:tab w:val="center" w:pos="4536"/>
        <w:tab w:val="right" w:pos="9072"/>
      </w:tabs>
      <w:spacing w:after="0" w:line="240" w:lineRule="auto"/>
    </w:pPr>
    <w:r w:rsidRPr="00217C4A">
      <w:t>2021./2022.</w:t>
    </w:r>
  </w:p>
  <w:p w14:paraId="73ADCEF7" w14:textId="25B6FC51" w:rsidR="00217C4A" w:rsidRPr="00217C4A" w:rsidRDefault="00586D19" w:rsidP="00217C4A">
    <w:pPr>
      <w:tabs>
        <w:tab w:val="left" w:pos="1207"/>
        <w:tab w:val="center" w:pos="4536"/>
        <w:tab w:val="right" w:pos="9072"/>
      </w:tabs>
      <w:spacing w:after="0" w:line="240" w:lineRule="auto"/>
    </w:pPr>
    <w:r>
      <w:t>01/03/22 – 9</w:t>
    </w:r>
    <w:r w:rsidR="00217C4A" w:rsidRPr="00217C4A">
      <w:t>.Sj. FV</w:t>
    </w:r>
  </w:p>
  <w:p w14:paraId="44E871BC" w14:textId="77777777" w:rsidR="00E72FB4" w:rsidRDefault="00E72FB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57177B" w14:textId="77777777" w:rsidR="00524E35" w:rsidRDefault="00524E35" w:rsidP="005A5A21">
      <w:pPr>
        <w:spacing w:after="0" w:line="240" w:lineRule="auto"/>
      </w:pPr>
      <w:r>
        <w:separator/>
      </w:r>
    </w:p>
  </w:footnote>
  <w:footnote w:type="continuationSeparator" w:id="0">
    <w:p w14:paraId="31BAA449" w14:textId="77777777" w:rsidR="00524E35" w:rsidRDefault="00524E35" w:rsidP="005A5A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45B32"/>
    <w:multiLevelType w:val="hybridMultilevel"/>
    <w:tmpl w:val="B37E67D6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A23678"/>
    <w:multiLevelType w:val="hybridMultilevel"/>
    <w:tmpl w:val="B202AEC0"/>
    <w:lvl w:ilvl="0" w:tplc="91747BD8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6A9C3AB5"/>
    <w:multiLevelType w:val="hybridMultilevel"/>
    <w:tmpl w:val="1F7E85C0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9A500E7"/>
    <w:multiLevelType w:val="hybridMultilevel"/>
    <w:tmpl w:val="43E897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A21"/>
    <w:rsid w:val="000234A5"/>
    <w:rsid w:val="000B6D73"/>
    <w:rsid w:val="00105D25"/>
    <w:rsid w:val="0013779A"/>
    <w:rsid w:val="001646DC"/>
    <w:rsid w:val="00196171"/>
    <w:rsid w:val="002176CE"/>
    <w:rsid w:val="00217C4A"/>
    <w:rsid w:val="002A6EBC"/>
    <w:rsid w:val="002D76D0"/>
    <w:rsid w:val="00352501"/>
    <w:rsid w:val="00365840"/>
    <w:rsid w:val="003C42B9"/>
    <w:rsid w:val="003D6E24"/>
    <w:rsid w:val="00432D02"/>
    <w:rsid w:val="00456822"/>
    <w:rsid w:val="004A5F75"/>
    <w:rsid w:val="004C208A"/>
    <w:rsid w:val="004C2BF7"/>
    <w:rsid w:val="004D12EB"/>
    <w:rsid w:val="004E3974"/>
    <w:rsid w:val="00524E35"/>
    <w:rsid w:val="0054655F"/>
    <w:rsid w:val="00547AB9"/>
    <w:rsid w:val="00550031"/>
    <w:rsid w:val="00586D19"/>
    <w:rsid w:val="005A5A21"/>
    <w:rsid w:val="005B6B03"/>
    <w:rsid w:val="005C71DE"/>
    <w:rsid w:val="00640ED4"/>
    <w:rsid w:val="007A6C06"/>
    <w:rsid w:val="00844B4A"/>
    <w:rsid w:val="00850C48"/>
    <w:rsid w:val="008D7118"/>
    <w:rsid w:val="00933B3E"/>
    <w:rsid w:val="00AC74EA"/>
    <w:rsid w:val="00B35FE5"/>
    <w:rsid w:val="00BE15D4"/>
    <w:rsid w:val="00BE3D80"/>
    <w:rsid w:val="00D044E4"/>
    <w:rsid w:val="00D120A9"/>
    <w:rsid w:val="00D168F6"/>
    <w:rsid w:val="00D94776"/>
    <w:rsid w:val="00DC17EB"/>
    <w:rsid w:val="00E047A1"/>
    <w:rsid w:val="00E63012"/>
    <w:rsid w:val="00E72FB4"/>
    <w:rsid w:val="6D3EC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E903F"/>
  <w15:docId w15:val="{F6C13227-D8EE-402D-A76B-38C70D7EF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A21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A5A21"/>
    <w:pPr>
      <w:ind w:left="720"/>
      <w:contextualSpacing/>
    </w:pPr>
  </w:style>
  <w:style w:type="paragraph" w:customStyle="1" w:styleId="FieldText">
    <w:name w:val="Field Text"/>
    <w:basedOn w:val="Normal"/>
    <w:rsid w:val="005A5A21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5A5A21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5A5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A5A2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5A5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A5A21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DC17EB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23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34A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2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s.org/review/r211012h.htm" TargetMode="External"/><Relationship Id="rId13" Type="http://schemas.openxmlformats.org/officeDocument/2006/relationships/hyperlink" Target="https://dizbi.hazu.hr/a/?pr=i&amp;id=2347472" TargetMode="External"/><Relationship Id="rId18" Type="http://schemas.openxmlformats.org/officeDocument/2006/relationships/hyperlink" Target="https://ideas.repec.org/p/gii/giihei/heidwp09-2021.html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bib.irb.hr/datoteka/1045675.Financijska_kretanja_najnoviji_dogaaji_i_perspektive_znanstvena_e-knjiga_1.pdf" TargetMode="External"/><Relationship Id="rId7" Type="http://schemas.openxmlformats.org/officeDocument/2006/relationships/hyperlink" Target="https://doi.org/10.1016/j.annale.2022.100036" TargetMode="External"/><Relationship Id="rId12" Type="http://schemas.openxmlformats.org/officeDocument/2006/relationships/hyperlink" Target="https://dizbi.hazu.hr/a/?pr=i&amp;id=2347453" TargetMode="External"/><Relationship Id="rId17" Type="http://schemas.openxmlformats.org/officeDocument/2006/relationships/hyperlink" Target="https://www.bis.org/publ/work972.htm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bis.org/review/r210211h.htm" TargetMode="External"/><Relationship Id="rId20" Type="http://schemas.openxmlformats.org/officeDocument/2006/relationships/hyperlink" Target="https://pep.vse.cz/artkey/pep-202105-0005_foreign-banks-in-central-and-eastern-europe-the-good-the-bad-and-the-ugly.ph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mf.org/en/News/Articles/2021/09/27/sp092721-the-future-of-finance-and-the-global-economy?utm_medium=email&amp;utm_source=govdelivery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www.cfainstitute.org/en/research/foundation/2021/negative-interest-rates" TargetMode="External"/><Relationship Id="rId23" Type="http://schemas.openxmlformats.org/officeDocument/2006/relationships/hyperlink" Target="https://openknowledge.worldbank.org/handle/10986/28482?show=full" TargetMode="External"/><Relationship Id="rId10" Type="http://schemas.openxmlformats.org/officeDocument/2006/relationships/hyperlink" Target="http://fgg-web.fgg.uni-lj.si/~/sdrobne/sor/SOR'21%20-%20Proceedings.pdf" TargetMode="External"/><Relationship Id="rId19" Type="http://schemas.openxmlformats.org/officeDocument/2006/relationships/hyperlink" Target="https://www.federalreserve.gov/econres/ifdp/files/ifdp1325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zbi.hazu.hr/a/?pr=i&amp;id=2347624" TargetMode="External"/><Relationship Id="rId14" Type="http://schemas.openxmlformats.org/officeDocument/2006/relationships/hyperlink" Target="https://www.bis.org/publ/bppdf/bispap119.htm" TargetMode="External"/><Relationship Id="rId22" Type="http://schemas.openxmlformats.org/officeDocument/2006/relationships/hyperlink" Target="https://doi.org/10.1016/j.jcorpfin.2015.05.0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2550</Words>
  <Characters>14538</Characters>
  <Application>Microsoft Office Word</Application>
  <DocSecurity>0</DocSecurity>
  <Lines>121</Lines>
  <Paragraphs>34</Paragraphs>
  <ScaleCrop>false</ScaleCrop>
  <Company/>
  <LinksUpToDate>false</LinksUpToDate>
  <CharactersWithSpaces>17054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7</cp:revision>
  <cp:lastPrinted>2018-10-09T12:10:00Z</cp:lastPrinted>
  <dcterms:created xsi:type="dcterms:W3CDTF">2021-10-11T11:22:00Z</dcterms:created>
  <dcterms:modified xsi:type="dcterms:W3CDTF">2022-02-23T08:46:00Z</dcterms:modified>
</cp:coreProperties>
</file>